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AA6CD" w14:textId="55B4BCBD" w:rsidR="007177E1" w:rsidRPr="00F82E4E" w:rsidRDefault="00F82E4E" w:rsidP="007177E1">
      <w:pPr>
        <w:jc w:val="center"/>
        <w:rPr>
          <w:b/>
          <w:bCs/>
          <w:sz w:val="24"/>
          <w:szCs w:val="24"/>
        </w:rPr>
      </w:pPr>
      <w:r w:rsidRPr="00F82E4E">
        <w:rPr>
          <w:b/>
          <w:bCs/>
          <w:sz w:val="24"/>
          <w:szCs w:val="24"/>
        </w:rPr>
        <w:t>Questions</w:t>
      </w:r>
    </w:p>
    <w:p w14:paraId="62DBCCD8" w14:textId="03C548E8" w:rsidR="0062795B" w:rsidRDefault="007177E1">
      <w:pPr>
        <w:rPr>
          <w:b/>
          <w:bCs/>
        </w:rPr>
      </w:pPr>
      <w:r w:rsidRPr="007177E1">
        <w:rPr>
          <w:b/>
          <w:bCs/>
        </w:rPr>
        <w:t>Calculating Resident Days</w:t>
      </w:r>
    </w:p>
    <w:p w14:paraId="72700E39" w14:textId="5D5E8CE2" w:rsidR="007177E1" w:rsidRDefault="007177E1" w:rsidP="007177E1">
      <w:pPr>
        <w:pStyle w:val="ListParagraph"/>
        <w:numPr>
          <w:ilvl w:val="0"/>
          <w:numId w:val="2"/>
        </w:numPr>
      </w:pPr>
      <w:r>
        <w:t xml:space="preserve">There are 120 residents in your LTCF during the month of June. How many resident days are there in June? </w:t>
      </w:r>
    </w:p>
    <w:p w14:paraId="0F4FA34E" w14:textId="77777777" w:rsidR="00942033" w:rsidRDefault="00942033" w:rsidP="00942033">
      <w:pPr>
        <w:pStyle w:val="ListParagraph"/>
      </w:pPr>
    </w:p>
    <w:p w14:paraId="2E6834BC" w14:textId="7D389BB5" w:rsidR="007177E1" w:rsidRDefault="007177E1" w:rsidP="007177E1">
      <w:pPr>
        <w:pStyle w:val="ListParagraph"/>
        <w:numPr>
          <w:ilvl w:val="0"/>
          <w:numId w:val="2"/>
        </w:numPr>
      </w:pPr>
      <w:r>
        <w:t xml:space="preserve">There are 50 residents living in your LTCF throughout the 2022 calendar year. How many resident days are there in 2022? </w:t>
      </w:r>
    </w:p>
    <w:p w14:paraId="2E0EA107" w14:textId="77777777" w:rsidR="00942033" w:rsidRDefault="00942033" w:rsidP="00942033">
      <w:pPr>
        <w:pStyle w:val="ListParagraph"/>
      </w:pPr>
    </w:p>
    <w:p w14:paraId="408CA3FA" w14:textId="7962A9FF" w:rsidR="007177E1" w:rsidRDefault="007177E1" w:rsidP="007177E1">
      <w:pPr>
        <w:pStyle w:val="ListParagraph"/>
        <w:numPr>
          <w:ilvl w:val="0"/>
          <w:numId w:val="2"/>
        </w:numPr>
      </w:pPr>
      <w:r>
        <w:t>There are 100 residents living in your LTCF throughout the month of October and November. There are 102 residents in your LTFC throughout the month of December. How many resident days are there i</w:t>
      </w:r>
      <w:r w:rsidR="0089240A">
        <w:t>n</w:t>
      </w:r>
      <w:r>
        <w:t xml:space="preserve"> the last quarter of the year? </w:t>
      </w:r>
    </w:p>
    <w:p w14:paraId="5818D327" w14:textId="3F2EA868" w:rsidR="007177E1" w:rsidRDefault="007177E1" w:rsidP="007177E1">
      <w:pPr>
        <w:pStyle w:val="ListParagraph"/>
      </w:pPr>
    </w:p>
    <w:p w14:paraId="7BFF7179" w14:textId="1A35BBFF" w:rsidR="002B098B" w:rsidRDefault="002B098B" w:rsidP="002B098B">
      <w:pPr>
        <w:rPr>
          <w:b/>
          <w:bCs/>
        </w:rPr>
      </w:pPr>
      <w:r w:rsidRPr="002B098B">
        <w:rPr>
          <w:b/>
          <w:bCs/>
        </w:rPr>
        <w:t xml:space="preserve">Calculating </w:t>
      </w:r>
      <w:r w:rsidR="0065553F">
        <w:rPr>
          <w:b/>
          <w:bCs/>
        </w:rPr>
        <w:t>Rate</w:t>
      </w:r>
      <w:r w:rsidR="00942033">
        <w:rPr>
          <w:b/>
          <w:bCs/>
        </w:rPr>
        <w:t>s</w:t>
      </w:r>
      <w:r w:rsidRPr="002B098B">
        <w:rPr>
          <w:b/>
          <w:bCs/>
        </w:rPr>
        <w:t xml:space="preserve"> </w:t>
      </w:r>
    </w:p>
    <w:p w14:paraId="0FDB28DE" w14:textId="14EF2676" w:rsidR="0065553F" w:rsidRDefault="0065553F" w:rsidP="0065553F">
      <w:pPr>
        <w:pStyle w:val="ListParagraph"/>
        <w:numPr>
          <w:ilvl w:val="0"/>
          <w:numId w:val="2"/>
        </w:numPr>
      </w:pPr>
      <w:r w:rsidRPr="002A100C">
        <w:t xml:space="preserve">There are 120 residents in your LTCF during the month of June. Five residents developed a </w:t>
      </w:r>
      <w:r w:rsidR="002A100C" w:rsidRPr="002A100C">
        <w:t xml:space="preserve">healthcare associated </w:t>
      </w:r>
      <w:r w:rsidRPr="002A100C">
        <w:t xml:space="preserve">COVID </w:t>
      </w:r>
      <w:r w:rsidR="002A100C" w:rsidRPr="002A100C">
        <w:t>infection</w:t>
      </w:r>
      <w:r w:rsidR="002A100C">
        <w:t>. What is the COVID infection rate per 1,000 resident days in June?</w:t>
      </w:r>
    </w:p>
    <w:p w14:paraId="35A34A45" w14:textId="77777777" w:rsidR="00942033" w:rsidRDefault="00942033" w:rsidP="00942033">
      <w:pPr>
        <w:pStyle w:val="ListParagraph"/>
      </w:pPr>
    </w:p>
    <w:p w14:paraId="0D5B8607" w14:textId="7E4C403D" w:rsidR="00942033" w:rsidRDefault="00942033" w:rsidP="002B098B">
      <w:pPr>
        <w:pStyle w:val="ListParagraph"/>
        <w:numPr>
          <w:ilvl w:val="0"/>
          <w:numId w:val="2"/>
        </w:numPr>
      </w:pPr>
      <w:r>
        <w:t xml:space="preserve">There are 50 residents living in your LTCF throughout the 2022 calendar year. Seven residents developed </w:t>
      </w:r>
      <w:r w:rsidR="00543F13">
        <w:t>CDI</w:t>
      </w:r>
      <w:r>
        <w:t xml:space="preserve">. What is the </w:t>
      </w:r>
      <w:r w:rsidR="00543F13">
        <w:t>CDI</w:t>
      </w:r>
      <w:r>
        <w:t xml:space="preserve"> rate per 10,000 resident days in 2022? </w:t>
      </w:r>
    </w:p>
    <w:p w14:paraId="4DCE537A" w14:textId="77777777" w:rsidR="00942033" w:rsidRDefault="00942033" w:rsidP="00942033">
      <w:pPr>
        <w:pStyle w:val="ListParagraph"/>
      </w:pPr>
    </w:p>
    <w:p w14:paraId="73280547" w14:textId="51495E2A" w:rsidR="00602F67" w:rsidRDefault="00942033" w:rsidP="002B098B">
      <w:pPr>
        <w:pStyle w:val="ListParagraph"/>
        <w:numPr>
          <w:ilvl w:val="0"/>
          <w:numId w:val="2"/>
        </w:numPr>
      </w:pPr>
      <w:r>
        <w:t xml:space="preserve">There are 100 residents living in your LTCF throughout the month of October and November. There are 102 residents in your LTFC throughout the month of December. Three residents developed CAUTI during the quarter. There were 1,500 catheter days. What is the incidence of CAUTI during the quarter per 1,000 catheter days? </w:t>
      </w:r>
    </w:p>
    <w:p w14:paraId="67898F7E" w14:textId="77777777" w:rsidR="009F71CC" w:rsidRDefault="009F71CC" w:rsidP="009F71CC">
      <w:pPr>
        <w:pStyle w:val="ListParagraph"/>
      </w:pPr>
    </w:p>
    <w:p w14:paraId="3471E842" w14:textId="77777777" w:rsidR="009F71CC" w:rsidRDefault="009F71CC" w:rsidP="009F71CC">
      <w:pPr>
        <w:pStyle w:val="ListParagraph"/>
        <w:numPr>
          <w:ilvl w:val="0"/>
          <w:numId w:val="2"/>
        </w:numPr>
      </w:pPr>
      <w:r>
        <w:t xml:space="preserve">There are 150 residents living in your LTCF in January. Twelve residents developed influenza. What was the incidence of influenza per 1,000 resident days? </w:t>
      </w:r>
    </w:p>
    <w:p w14:paraId="10E7F7CF" w14:textId="77777777" w:rsidR="009F71CC" w:rsidRPr="009F71CC" w:rsidRDefault="009F71CC" w:rsidP="009F71CC">
      <w:pPr>
        <w:pStyle w:val="ListParagraph"/>
        <w:rPr>
          <w:color w:val="1F497D"/>
          <w:lang w:val="en-CA"/>
        </w:rPr>
      </w:pPr>
    </w:p>
    <w:p w14:paraId="085C9A87" w14:textId="79CFDC28" w:rsidR="009F71CC" w:rsidRPr="009F71CC" w:rsidRDefault="009F71CC" w:rsidP="009F71CC">
      <w:pPr>
        <w:pStyle w:val="ListParagraph"/>
        <w:numPr>
          <w:ilvl w:val="0"/>
          <w:numId w:val="2"/>
        </w:numPr>
      </w:pPr>
      <w:r>
        <w:rPr>
          <w:lang w:val="en-CA"/>
        </w:rPr>
        <w:t xml:space="preserve">There is a norovirus outbreak in your LTCF which has 20 residents and 6 staff. </w:t>
      </w:r>
      <w:r w:rsidR="00786258">
        <w:rPr>
          <w:lang w:val="en-CA"/>
        </w:rPr>
        <w:t xml:space="preserve">Eleven </w:t>
      </w:r>
      <w:r w:rsidRPr="009F71CC">
        <w:rPr>
          <w:lang w:val="en-CA"/>
        </w:rPr>
        <w:t xml:space="preserve">residents </w:t>
      </w:r>
      <w:r w:rsidR="00786258">
        <w:rPr>
          <w:lang w:val="en-CA"/>
        </w:rPr>
        <w:t>and 2 staff are ill.</w:t>
      </w:r>
      <w:r w:rsidRPr="009F71CC">
        <w:rPr>
          <w:lang w:val="en-CA"/>
        </w:rPr>
        <w:t xml:space="preserve"> What is the attack rate </w:t>
      </w:r>
      <w:r w:rsidR="00786258">
        <w:rPr>
          <w:lang w:val="en-CA"/>
        </w:rPr>
        <w:t xml:space="preserve">percentage </w:t>
      </w:r>
      <w:r w:rsidRPr="009F71CC">
        <w:rPr>
          <w:lang w:val="en-CA"/>
        </w:rPr>
        <w:t xml:space="preserve">of </w:t>
      </w:r>
      <w:r w:rsidR="00786258">
        <w:rPr>
          <w:lang w:val="en-CA"/>
        </w:rPr>
        <w:t xml:space="preserve">norovirus in </w:t>
      </w:r>
      <w:r w:rsidRPr="009F71CC">
        <w:rPr>
          <w:lang w:val="en-CA"/>
        </w:rPr>
        <w:t>residents and staff?</w:t>
      </w:r>
    </w:p>
    <w:p w14:paraId="63A0D308" w14:textId="77777777" w:rsidR="009F71CC" w:rsidRPr="009F71CC" w:rsidRDefault="009F71CC" w:rsidP="009F71CC">
      <w:pPr>
        <w:ind w:left="360"/>
        <w:rPr>
          <w:lang w:val="en-CA"/>
        </w:rPr>
      </w:pPr>
    </w:p>
    <w:p w14:paraId="04B430BC" w14:textId="52DB134A" w:rsidR="00F82E4E" w:rsidRPr="00FA2E59" w:rsidRDefault="00F82E4E" w:rsidP="00942033">
      <w:pPr>
        <w:rPr>
          <w:b/>
          <w:bCs/>
        </w:rPr>
      </w:pPr>
      <w:r w:rsidRPr="00FA2E59">
        <w:rPr>
          <w:b/>
          <w:bCs/>
        </w:rPr>
        <w:t>Answers are provided on Page 2</w:t>
      </w:r>
    </w:p>
    <w:p w14:paraId="5B87B1CE" w14:textId="5933140C" w:rsidR="00FA2E59" w:rsidRPr="00FA2E59" w:rsidRDefault="00FA2E59" w:rsidP="00942033">
      <w:r w:rsidRPr="00FA2E59">
        <w:rPr>
          <w:b/>
          <w:bCs/>
        </w:rPr>
        <w:t>Additional examples</w:t>
      </w:r>
      <w:r w:rsidRPr="00FA2E59">
        <w:t xml:space="preserve"> can be found in</w:t>
      </w:r>
      <w:r>
        <w:t xml:space="preserve"> Boxes 11 through 14 of</w:t>
      </w:r>
      <w:r w:rsidRPr="00FA2E59">
        <w:t xml:space="preserve"> the Ontario Agency for Health Protection and Promotion (Public Health Ontario), Provincial Infectious Diseases Advisory Committee</w:t>
      </w:r>
      <w:r>
        <w:t>,</w:t>
      </w:r>
      <w:r w:rsidRPr="00FA2E59">
        <w:t xml:space="preserve"> Best practices for surveillance of health care-associated infections in patient and resident populations. 3rd ed. Toronto, ON: Queen’s Printer for Ontario; 2014</w:t>
      </w:r>
      <w:r>
        <w:t>:</w:t>
      </w:r>
      <w:r w:rsidRPr="00FA2E59">
        <w:t xml:space="preserve"> </w:t>
      </w:r>
      <w:hyperlink r:id="rId7" w:history="1">
        <w:r w:rsidRPr="0049540E">
          <w:rPr>
            <w:rStyle w:val="Hyperlink"/>
          </w:rPr>
          <w:t>https://www.publichealthontario.ca/-/media/ Documents/B/2014/bp-hai-surveillance.pdf?rev=9e7eb19b6140410faed32a5dafed8f3e&amp;sc_lang=en</w:t>
        </w:r>
      </w:hyperlink>
      <w:r>
        <w:t xml:space="preserve"> </w:t>
      </w:r>
    </w:p>
    <w:p w14:paraId="481B916D" w14:textId="64A6CE59" w:rsidR="00942033" w:rsidRDefault="00942033" w:rsidP="00942033"/>
    <w:p w14:paraId="71E9E162" w14:textId="68513DD2" w:rsidR="007177E1" w:rsidRPr="00F82E4E" w:rsidRDefault="00F82E4E" w:rsidP="007177E1">
      <w:pPr>
        <w:pStyle w:val="ListParagraph"/>
        <w:jc w:val="center"/>
        <w:rPr>
          <w:b/>
          <w:bCs/>
          <w:sz w:val="24"/>
          <w:szCs w:val="24"/>
        </w:rPr>
      </w:pPr>
      <w:r w:rsidRPr="00F82E4E">
        <w:rPr>
          <w:b/>
          <w:bCs/>
          <w:sz w:val="24"/>
          <w:szCs w:val="24"/>
        </w:rPr>
        <w:lastRenderedPageBreak/>
        <w:t>Answers</w:t>
      </w:r>
    </w:p>
    <w:p w14:paraId="514624B7" w14:textId="77777777" w:rsidR="007177E1" w:rsidRDefault="007177E1" w:rsidP="007177E1">
      <w:pPr>
        <w:rPr>
          <w:b/>
          <w:bCs/>
        </w:rPr>
      </w:pPr>
      <w:r w:rsidRPr="007177E1">
        <w:rPr>
          <w:b/>
          <w:bCs/>
        </w:rPr>
        <w:t>Calculating Resident Days</w:t>
      </w:r>
    </w:p>
    <w:p w14:paraId="28091F8A" w14:textId="17A48061" w:rsidR="007177E1" w:rsidRDefault="007177E1" w:rsidP="007177E1">
      <w:pPr>
        <w:pStyle w:val="ListParagraph"/>
        <w:numPr>
          <w:ilvl w:val="0"/>
          <w:numId w:val="3"/>
        </w:numPr>
      </w:pPr>
      <w:r>
        <w:t xml:space="preserve">120 residents x 30 days in the month of June = </w:t>
      </w:r>
      <w:r w:rsidRPr="003469D2">
        <w:rPr>
          <w:b/>
          <w:bCs/>
        </w:rPr>
        <w:t>3,600</w:t>
      </w:r>
      <w:r>
        <w:t xml:space="preserve"> resident days in June</w:t>
      </w:r>
    </w:p>
    <w:p w14:paraId="1CDDB4ED" w14:textId="77777777" w:rsidR="003469D2" w:rsidRDefault="003469D2" w:rsidP="003469D2">
      <w:pPr>
        <w:pStyle w:val="ListParagraph"/>
      </w:pPr>
    </w:p>
    <w:p w14:paraId="745F61AB" w14:textId="0072979B" w:rsidR="007177E1" w:rsidRDefault="007177E1" w:rsidP="007177E1">
      <w:pPr>
        <w:pStyle w:val="ListParagraph"/>
        <w:numPr>
          <w:ilvl w:val="0"/>
          <w:numId w:val="3"/>
        </w:numPr>
      </w:pPr>
      <w:r>
        <w:t xml:space="preserve">50 residents x 365 days in the year = </w:t>
      </w:r>
      <w:r w:rsidRPr="003469D2">
        <w:rPr>
          <w:b/>
          <w:bCs/>
        </w:rPr>
        <w:t>18,250</w:t>
      </w:r>
      <w:r>
        <w:t xml:space="preserve"> resident days in 2022 </w:t>
      </w:r>
    </w:p>
    <w:p w14:paraId="69C54E16" w14:textId="77777777" w:rsidR="003469D2" w:rsidRDefault="003469D2" w:rsidP="003469D2">
      <w:pPr>
        <w:pStyle w:val="ListParagraph"/>
      </w:pPr>
    </w:p>
    <w:p w14:paraId="6296C70C" w14:textId="0EA9E510" w:rsidR="003469D2" w:rsidRDefault="007177E1" w:rsidP="003469D2">
      <w:pPr>
        <w:pStyle w:val="ListParagraph"/>
        <w:numPr>
          <w:ilvl w:val="0"/>
          <w:numId w:val="3"/>
        </w:numPr>
        <w:spacing w:after="0" w:line="240" w:lineRule="auto"/>
      </w:pPr>
      <w:r>
        <w:t xml:space="preserve">100 residents x </w:t>
      </w:r>
      <w:r w:rsidR="003469D2">
        <w:t>31 days in October = 3,100 resident days in October</w:t>
      </w:r>
    </w:p>
    <w:p w14:paraId="53F84628" w14:textId="5A60BC33" w:rsidR="003469D2" w:rsidRDefault="003469D2" w:rsidP="003469D2">
      <w:pPr>
        <w:spacing w:after="0" w:line="240" w:lineRule="auto"/>
        <w:ind w:left="720"/>
      </w:pPr>
      <w:r>
        <w:t>100 residents x 30 days in November = 3,000 resident days in November</w:t>
      </w:r>
    </w:p>
    <w:p w14:paraId="79AA08D2" w14:textId="6C2B2F45" w:rsidR="003469D2" w:rsidRDefault="003469D2" w:rsidP="003469D2">
      <w:pPr>
        <w:spacing w:after="0" w:line="240" w:lineRule="auto"/>
        <w:ind w:left="720"/>
      </w:pPr>
      <w:r>
        <w:t xml:space="preserve">102 residents x 31 days in December = 3,162 resident days in December </w:t>
      </w:r>
    </w:p>
    <w:p w14:paraId="527D975B" w14:textId="77777777" w:rsidR="003469D2" w:rsidRDefault="003469D2" w:rsidP="003469D2">
      <w:pPr>
        <w:spacing w:after="0" w:line="240" w:lineRule="auto"/>
        <w:ind w:left="720"/>
      </w:pPr>
    </w:p>
    <w:p w14:paraId="2C94A057" w14:textId="77777777" w:rsidR="0065553F" w:rsidRDefault="003469D2" w:rsidP="0065553F">
      <w:pPr>
        <w:spacing w:after="0" w:line="240" w:lineRule="auto"/>
        <w:ind w:left="720"/>
      </w:pPr>
      <w:r>
        <w:t xml:space="preserve">Total resident days of 3,100+3,000+3,162 = </w:t>
      </w:r>
      <w:r w:rsidRPr="002B098B">
        <w:rPr>
          <w:b/>
          <w:bCs/>
        </w:rPr>
        <w:t>9,262</w:t>
      </w:r>
      <w:r>
        <w:t xml:space="preserve"> in the last quarter of the year</w:t>
      </w:r>
    </w:p>
    <w:p w14:paraId="6220AB17" w14:textId="77777777" w:rsidR="0065553F" w:rsidRDefault="0065553F" w:rsidP="0065553F">
      <w:pPr>
        <w:spacing w:after="0" w:line="240" w:lineRule="auto"/>
        <w:ind w:left="720"/>
      </w:pPr>
    </w:p>
    <w:p w14:paraId="1C4F5644" w14:textId="77777777" w:rsidR="0065553F" w:rsidRDefault="0065553F" w:rsidP="0065553F">
      <w:pPr>
        <w:spacing w:after="0" w:line="240" w:lineRule="auto"/>
        <w:ind w:left="720"/>
      </w:pPr>
    </w:p>
    <w:p w14:paraId="2AAD385C" w14:textId="1A79EA46" w:rsidR="0065553F" w:rsidRDefault="003469D2" w:rsidP="0065553F">
      <w:pPr>
        <w:rPr>
          <w:b/>
          <w:bCs/>
        </w:rPr>
      </w:pPr>
      <w:r>
        <w:t xml:space="preserve"> </w:t>
      </w:r>
      <w:r w:rsidR="0065553F" w:rsidRPr="002B098B">
        <w:rPr>
          <w:b/>
          <w:bCs/>
        </w:rPr>
        <w:t xml:space="preserve">Calculating </w:t>
      </w:r>
      <w:r w:rsidR="00942033">
        <w:rPr>
          <w:b/>
          <w:bCs/>
        </w:rPr>
        <w:t>Rates</w:t>
      </w:r>
      <w:r w:rsidR="0065553F" w:rsidRPr="002B098B">
        <w:rPr>
          <w:b/>
          <w:bCs/>
        </w:rPr>
        <w:t xml:space="preserve"> </w:t>
      </w:r>
    </w:p>
    <w:p w14:paraId="5257EA1A" w14:textId="542345F7" w:rsidR="0065553F" w:rsidRDefault="00942033" w:rsidP="002A100C">
      <w:pPr>
        <w:pStyle w:val="ListParagraph"/>
        <w:numPr>
          <w:ilvl w:val="0"/>
          <w:numId w:val="3"/>
        </w:numPr>
      </w:pPr>
      <w:r>
        <w:t>(</w:t>
      </w:r>
      <w:r w:rsidR="002A100C" w:rsidRPr="002A100C">
        <w:t xml:space="preserve">5 </w:t>
      </w:r>
      <w:r w:rsidR="002A100C">
        <w:t xml:space="preserve">HAI </w:t>
      </w:r>
      <w:r w:rsidR="002A100C" w:rsidRPr="002A100C">
        <w:t xml:space="preserve">COVID </w:t>
      </w:r>
      <w:r w:rsidR="002A100C">
        <w:t xml:space="preserve">cases </w:t>
      </w:r>
      <w:r>
        <w:t>/</w:t>
      </w:r>
      <w:r w:rsidR="002A100C">
        <w:t xml:space="preserve"> 3,600 resident days in June) </w:t>
      </w:r>
      <w:r>
        <w:t xml:space="preserve">x 1,000 resident days </w:t>
      </w:r>
      <w:r w:rsidR="002A100C">
        <w:t xml:space="preserve">= </w:t>
      </w:r>
      <w:r w:rsidRPr="00942033">
        <w:rPr>
          <w:b/>
          <w:bCs/>
        </w:rPr>
        <w:t>1.39</w:t>
      </w:r>
      <w:r>
        <w:t xml:space="preserve"> HAI COVID cases per 1,000 resident days</w:t>
      </w:r>
    </w:p>
    <w:p w14:paraId="683FE666" w14:textId="77777777" w:rsidR="00942033" w:rsidRDefault="00942033" w:rsidP="00942033">
      <w:pPr>
        <w:pStyle w:val="ListParagraph"/>
      </w:pPr>
    </w:p>
    <w:p w14:paraId="08F3CA2D" w14:textId="3CB1BE19" w:rsidR="002A100C" w:rsidRDefault="00942033" w:rsidP="00942033">
      <w:pPr>
        <w:pStyle w:val="ListParagraph"/>
        <w:numPr>
          <w:ilvl w:val="0"/>
          <w:numId w:val="3"/>
        </w:numPr>
      </w:pPr>
      <w:r>
        <w:t xml:space="preserve">(7 </w:t>
      </w:r>
      <w:r w:rsidR="00543F13">
        <w:t>CDI</w:t>
      </w:r>
      <w:r>
        <w:t xml:space="preserve"> cases / 18,250 resident days in 2022) x 10,000 resident days = </w:t>
      </w:r>
      <w:r>
        <w:rPr>
          <w:b/>
          <w:bCs/>
        </w:rPr>
        <w:t>3.84</w:t>
      </w:r>
      <w:r>
        <w:t xml:space="preserve"> </w:t>
      </w:r>
      <w:r w:rsidR="00543F13">
        <w:t>CDI</w:t>
      </w:r>
      <w:r>
        <w:t xml:space="preserve"> cases per 10,000 resident days</w:t>
      </w:r>
    </w:p>
    <w:p w14:paraId="74B95022" w14:textId="77777777" w:rsidR="00942033" w:rsidRDefault="00942033" w:rsidP="00942033">
      <w:pPr>
        <w:pStyle w:val="ListParagraph"/>
      </w:pPr>
    </w:p>
    <w:p w14:paraId="30CAF22C" w14:textId="7466F4AE" w:rsidR="00942033" w:rsidRDefault="00942033" w:rsidP="00942033">
      <w:pPr>
        <w:pStyle w:val="ListParagraph"/>
        <w:numPr>
          <w:ilvl w:val="0"/>
          <w:numId w:val="3"/>
        </w:numPr>
      </w:pPr>
      <w:r>
        <w:t xml:space="preserve">(3 CAUTI cases / 1,500 catheter days) x 1,000 catheter days = </w:t>
      </w:r>
      <w:r w:rsidR="00554EA6" w:rsidRPr="00554EA6">
        <w:rPr>
          <w:b/>
          <w:bCs/>
        </w:rPr>
        <w:t>2.00</w:t>
      </w:r>
      <w:r w:rsidR="00554EA6">
        <w:t xml:space="preserve"> CAUTI cases per 1,000 catheter days </w:t>
      </w:r>
    </w:p>
    <w:p w14:paraId="37371966" w14:textId="77777777" w:rsidR="009F71CC" w:rsidRDefault="009F71CC" w:rsidP="009F71CC">
      <w:pPr>
        <w:pStyle w:val="ListParagraph"/>
      </w:pPr>
    </w:p>
    <w:p w14:paraId="2CC5B17F" w14:textId="0BEBA43C" w:rsidR="009F71CC" w:rsidRDefault="009F71CC" w:rsidP="00942033">
      <w:pPr>
        <w:pStyle w:val="ListParagraph"/>
        <w:numPr>
          <w:ilvl w:val="0"/>
          <w:numId w:val="3"/>
        </w:numPr>
      </w:pPr>
      <w:r>
        <w:t>150 residents x 31 days in January = 4,650 resident days</w:t>
      </w:r>
    </w:p>
    <w:p w14:paraId="6A083EFA" w14:textId="5F925ABA" w:rsidR="009F71CC" w:rsidRDefault="009F71CC" w:rsidP="009F71CC">
      <w:pPr>
        <w:ind w:left="720"/>
      </w:pPr>
      <w:r>
        <w:t xml:space="preserve">(12 influenza cases / 4,650 resident days) x 1,000 resident days = </w:t>
      </w:r>
      <w:r w:rsidRPr="009F71CC">
        <w:rPr>
          <w:b/>
          <w:bCs/>
        </w:rPr>
        <w:t>2.58</w:t>
      </w:r>
      <w:r>
        <w:t xml:space="preserve"> influenza cases per 1,000 resident days </w:t>
      </w:r>
    </w:p>
    <w:p w14:paraId="64263C90" w14:textId="4B99DA11" w:rsidR="009F71CC" w:rsidRPr="009F71CC" w:rsidRDefault="00786258" w:rsidP="009F71CC">
      <w:pPr>
        <w:pStyle w:val="ListParagraph"/>
        <w:numPr>
          <w:ilvl w:val="0"/>
          <w:numId w:val="3"/>
        </w:numPr>
        <w:rPr>
          <w:lang w:val="en-CA"/>
        </w:rPr>
      </w:pPr>
      <w:r>
        <w:rPr>
          <w:lang w:val="en-CA"/>
        </w:rPr>
        <w:t>(11 sick residents / 20 total residents) x 100</w:t>
      </w:r>
      <w:r w:rsidR="009F71CC" w:rsidRPr="009F71CC">
        <w:rPr>
          <w:lang w:val="en-CA"/>
        </w:rPr>
        <w:t xml:space="preserve"> = </w:t>
      </w:r>
      <w:r w:rsidR="009F71CC" w:rsidRPr="00786258">
        <w:rPr>
          <w:b/>
          <w:bCs/>
          <w:lang w:val="en-CA"/>
        </w:rPr>
        <w:t>55%</w:t>
      </w:r>
      <w:r>
        <w:rPr>
          <w:lang w:val="en-CA"/>
        </w:rPr>
        <w:t xml:space="preserve"> attack rate for residents </w:t>
      </w:r>
    </w:p>
    <w:p w14:paraId="29EE574D" w14:textId="18F222D7" w:rsidR="009F71CC" w:rsidRPr="009F71CC" w:rsidRDefault="00786258" w:rsidP="009F71CC">
      <w:pPr>
        <w:pStyle w:val="ListParagraph"/>
        <w:rPr>
          <w:lang w:val="en-CA"/>
        </w:rPr>
      </w:pPr>
      <w:r>
        <w:rPr>
          <w:lang w:val="en-CA"/>
        </w:rPr>
        <w:t xml:space="preserve">(2 sick staff / 6 total staff) x 100 = </w:t>
      </w:r>
      <w:r w:rsidR="009F71CC" w:rsidRPr="00786258">
        <w:rPr>
          <w:b/>
          <w:bCs/>
          <w:lang w:val="en-CA"/>
        </w:rPr>
        <w:t>33%</w:t>
      </w:r>
      <w:r>
        <w:rPr>
          <w:lang w:val="en-CA"/>
        </w:rPr>
        <w:t xml:space="preserve"> attach rate for staff </w:t>
      </w:r>
    </w:p>
    <w:p w14:paraId="6A822DE7" w14:textId="2F04F370" w:rsidR="007177E1" w:rsidRPr="007177E1" w:rsidRDefault="007177E1" w:rsidP="009F71CC">
      <w:pPr>
        <w:spacing w:after="0" w:line="240" w:lineRule="auto"/>
      </w:pPr>
    </w:p>
    <w:sectPr w:rsidR="007177E1" w:rsidRPr="007177E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3E8A" w14:textId="77777777" w:rsidR="006028E2" w:rsidRDefault="006028E2" w:rsidP="00F82E4E">
      <w:pPr>
        <w:spacing w:after="0" w:line="240" w:lineRule="auto"/>
      </w:pPr>
      <w:r>
        <w:separator/>
      </w:r>
    </w:p>
  </w:endnote>
  <w:endnote w:type="continuationSeparator" w:id="0">
    <w:p w14:paraId="60C9A308" w14:textId="77777777" w:rsidR="006028E2" w:rsidRDefault="006028E2" w:rsidP="00F82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492097"/>
      <w:docPartObj>
        <w:docPartGallery w:val="Page Numbers (Bottom of Page)"/>
        <w:docPartUnique/>
      </w:docPartObj>
    </w:sdtPr>
    <w:sdtContent>
      <w:sdt>
        <w:sdtPr>
          <w:id w:val="-1769616900"/>
          <w:docPartObj>
            <w:docPartGallery w:val="Page Numbers (Top of Page)"/>
            <w:docPartUnique/>
          </w:docPartObj>
        </w:sdtPr>
        <w:sdtContent>
          <w:p w14:paraId="705FC35F" w14:textId="39513BAA" w:rsidR="00F82E4E" w:rsidRPr="00F82E4E" w:rsidRDefault="00F82E4E">
            <w:pPr>
              <w:pStyle w:val="Footer"/>
              <w:jc w:val="right"/>
            </w:pPr>
            <w:r w:rsidRPr="00F82E4E">
              <w:t xml:space="preserve">Page </w:t>
            </w:r>
            <w:r w:rsidRPr="00F82E4E">
              <w:fldChar w:fldCharType="begin"/>
            </w:r>
            <w:r w:rsidRPr="00F82E4E">
              <w:instrText xml:space="preserve"> PAGE </w:instrText>
            </w:r>
            <w:r w:rsidRPr="00F82E4E">
              <w:fldChar w:fldCharType="separate"/>
            </w:r>
            <w:r w:rsidRPr="00F82E4E">
              <w:rPr>
                <w:noProof/>
              </w:rPr>
              <w:t>2</w:t>
            </w:r>
            <w:r w:rsidRPr="00F82E4E">
              <w:fldChar w:fldCharType="end"/>
            </w:r>
            <w:r w:rsidRPr="00F82E4E">
              <w:t xml:space="preserve"> of </w:t>
            </w:r>
            <w:fldSimple w:instr=" NUMPAGES  ">
              <w:r w:rsidRPr="00F82E4E">
                <w:rPr>
                  <w:noProof/>
                </w:rPr>
                <w:t>2</w:t>
              </w:r>
            </w:fldSimple>
          </w:p>
        </w:sdtContent>
      </w:sdt>
    </w:sdtContent>
  </w:sdt>
  <w:p w14:paraId="5A7A796E" w14:textId="77777777" w:rsidR="00F82E4E" w:rsidRDefault="00F82E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4465" w14:textId="77777777" w:rsidR="006028E2" w:rsidRDefault="006028E2" w:rsidP="00F82E4E">
      <w:pPr>
        <w:spacing w:after="0" w:line="240" w:lineRule="auto"/>
      </w:pPr>
      <w:r>
        <w:separator/>
      </w:r>
    </w:p>
  </w:footnote>
  <w:footnote w:type="continuationSeparator" w:id="0">
    <w:p w14:paraId="7202ABD0" w14:textId="77777777" w:rsidR="006028E2" w:rsidRDefault="006028E2" w:rsidP="00F82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CC1DA" w14:textId="13A80200" w:rsidR="00F82E4E" w:rsidRDefault="00F82E4E" w:rsidP="00F82E4E">
    <w:pPr>
      <w:pStyle w:val="Header"/>
      <w:tabs>
        <w:tab w:val="clear" w:pos="4680"/>
        <w:tab w:val="center" w:pos="4320"/>
      </w:tabs>
      <w:jc w:val="right"/>
    </w:pPr>
    <w:r>
      <w:rPr>
        <w:noProof/>
      </w:rPr>
      <w:drawing>
        <wp:anchor distT="0" distB="0" distL="114300" distR="114300" simplePos="0" relativeHeight="251658240" behindDoc="0" locked="0" layoutInCell="1" allowOverlap="1" wp14:anchorId="04B659F6" wp14:editId="3AC8ECD2">
          <wp:simplePos x="0" y="0"/>
          <wp:positionH relativeFrom="margin">
            <wp:posOffset>-335280</wp:posOffset>
          </wp:positionH>
          <wp:positionV relativeFrom="paragraph">
            <wp:posOffset>-99060</wp:posOffset>
          </wp:positionV>
          <wp:extent cx="2456594" cy="647700"/>
          <wp:effectExtent l="0" t="0" r="1270" b="0"/>
          <wp:wrapNone/>
          <wp:docPr id="1" name="Picture 1" descr="Home | IPAC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 IPAC Can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6594" cy="6477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t xml:space="preserve">Surveillance and Applied Epidemiology Interest Group </w:t>
    </w:r>
  </w:p>
  <w:p w14:paraId="2F617079" w14:textId="4755477A" w:rsidR="00F82E4E" w:rsidRDefault="00F82E4E" w:rsidP="00F82E4E">
    <w:pPr>
      <w:pStyle w:val="Header"/>
      <w:tabs>
        <w:tab w:val="clear" w:pos="4680"/>
        <w:tab w:val="center" w:pos="4320"/>
      </w:tabs>
      <w:jc w:val="right"/>
    </w:pPr>
    <w:r>
      <w:t xml:space="preserve">LTC Surveillance Calculations Exercises </w:t>
    </w:r>
  </w:p>
  <w:p w14:paraId="324A9EE3" w14:textId="73BE4008" w:rsidR="00F82E4E" w:rsidRDefault="00F82E4E" w:rsidP="00F82E4E">
    <w:pPr>
      <w:pStyle w:val="Header"/>
      <w:jc w:val="right"/>
    </w:pPr>
  </w:p>
  <w:p w14:paraId="64AB5D61" w14:textId="77777777" w:rsidR="00F82E4E" w:rsidRDefault="00F82E4E" w:rsidP="00F82E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92807"/>
    <w:multiLevelType w:val="hybridMultilevel"/>
    <w:tmpl w:val="C65C46C4"/>
    <w:lvl w:ilvl="0" w:tplc="F06AB73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6740B9"/>
    <w:multiLevelType w:val="hybridMultilevel"/>
    <w:tmpl w:val="1620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0B177E"/>
    <w:multiLevelType w:val="hybridMultilevel"/>
    <w:tmpl w:val="D5FA569A"/>
    <w:lvl w:ilvl="0" w:tplc="E500CDB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F75444"/>
    <w:multiLevelType w:val="hybridMultilevel"/>
    <w:tmpl w:val="F9A4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8899070">
    <w:abstractNumId w:val="3"/>
  </w:num>
  <w:num w:numId="2" w16cid:durableId="461188574">
    <w:abstractNumId w:val="0"/>
  </w:num>
  <w:num w:numId="3" w16cid:durableId="485898769">
    <w:abstractNumId w:val="2"/>
  </w:num>
  <w:num w:numId="4" w16cid:durableId="1813018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E1"/>
    <w:rsid w:val="000041C3"/>
    <w:rsid w:val="001616C5"/>
    <w:rsid w:val="002A100C"/>
    <w:rsid w:val="002B098B"/>
    <w:rsid w:val="003469D2"/>
    <w:rsid w:val="004155B1"/>
    <w:rsid w:val="00543F13"/>
    <w:rsid w:val="00554EA6"/>
    <w:rsid w:val="006028E2"/>
    <w:rsid w:val="00602F67"/>
    <w:rsid w:val="0062795B"/>
    <w:rsid w:val="0065553F"/>
    <w:rsid w:val="006F7F6D"/>
    <w:rsid w:val="007177E1"/>
    <w:rsid w:val="00786258"/>
    <w:rsid w:val="007C4E0C"/>
    <w:rsid w:val="0089240A"/>
    <w:rsid w:val="00942033"/>
    <w:rsid w:val="009E4788"/>
    <w:rsid w:val="009F03FB"/>
    <w:rsid w:val="009F71CC"/>
    <w:rsid w:val="00F82E4E"/>
    <w:rsid w:val="00FA2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A0829"/>
  <w15:chartTrackingRefBased/>
  <w15:docId w15:val="{185983DD-6361-4B02-A04E-ECCE2832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77E1"/>
    <w:pPr>
      <w:ind w:left="720"/>
      <w:contextualSpacing/>
    </w:pPr>
  </w:style>
  <w:style w:type="paragraph" w:styleId="Header">
    <w:name w:val="header"/>
    <w:basedOn w:val="Normal"/>
    <w:link w:val="HeaderChar"/>
    <w:uiPriority w:val="99"/>
    <w:unhideWhenUsed/>
    <w:rsid w:val="00F82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E4E"/>
  </w:style>
  <w:style w:type="paragraph" w:styleId="Footer">
    <w:name w:val="footer"/>
    <w:basedOn w:val="Normal"/>
    <w:link w:val="FooterChar"/>
    <w:uiPriority w:val="99"/>
    <w:unhideWhenUsed/>
    <w:rsid w:val="00F82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E4E"/>
  </w:style>
  <w:style w:type="character" w:styleId="Hyperlink">
    <w:name w:val="Hyperlink"/>
    <w:basedOn w:val="DefaultParagraphFont"/>
    <w:uiPriority w:val="99"/>
    <w:unhideWhenUsed/>
    <w:rsid w:val="00FA2E59"/>
    <w:rPr>
      <w:color w:val="0000FF"/>
      <w:u w:val="single"/>
    </w:rPr>
  </w:style>
  <w:style w:type="character" w:styleId="UnresolvedMention">
    <w:name w:val="Unresolved Mention"/>
    <w:basedOn w:val="DefaultParagraphFont"/>
    <w:uiPriority w:val="99"/>
    <w:semiHidden/>
    <w:unhideWhenUsed/>
    <w:rsid w:val="00FA2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ublichealthontario.ca/-/media/%20Documents/B/2014/bp-hai-surveillance.pdf?rev=9e7eb19b6140410faed32a5dafed8f3e&amp;sc_lan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Happe</dc:creator>
  <cp:keywords/>
  <dc:description/>
  <cp:lastModifiedBy>Kelli Wagner</cp:lastModifiedBy>
  <cp:revision>2</cp:revision>
  <dcterms:created xsi:type="dcterms:W3CDTF">2023-02-02T16:59:00Z</dcterms:created>
  <dcterms:modified xsi:type="dcterms:W3CDTF">2023-02-02T16:59:00Z</dcterms:modified>
</cp:coreProperties>
</file>